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4D29" w14:textId="77777777" w:rsidR="00BB6773" w:rsidRDefault="00BB6773">
      <w:pPr>
        <w:rPr>
          <w:sz w:val="28"/>
          <w:szCs w:val="28"/>
          <w:u w:val="single"/>
        </w:rPr>
      </w:pPr>
      <w:r>
        <w:rPr>
          <w:noProof/>
        </w:rPr>
        <w:drawing>
          <wp:anchor distT="0" distB="0" distL="114300" distR="114300" simplePos="0" relativeHeight="251659264" behindDoc="1" locked="0" layoutInCell="1" allowOverlap="1" wp14:anchorId="22A4EE93" wp14:editId="2C6140EA">
            <wp:simplePos x="0" y="0"/>
            <wp:positionH relativeFrom="page">
              <wp:posOffset>6416040</wp:posOffset>
            </wp:positionH>
            <wp:positionV relativeFrom="paragraph">
              <wp:posOffset>-664210</wp:posOffset>
            </wp:positionV>
            <wp:extent cx="1144270" cy="114427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pic:spPr>
                </pic:pic>
              </a:graphicData>
            </a:graphic>
            <wp14:sizeRelH relativeFrom="margin">
              <wp14:pctWidth>0</wp14:pctWidth>
            </wp14:sizeRelH>
            <wp14:sizeRelV relativeFrom="margin">
              <wp14:pctHeight>0</wp14:pctHeight>
            </wp14:sizeRelV>
          </wp:anchor>
        </w:drawing>
      </w:r>
    </w:p>
    <w:p w14:paraId="5839CE13" w14:textId="77777777" w:rsidR="00AC455F" w:rsidRPr="0095520C" w:rsidRDefault="00E4245E">
      <w:pPr>
        <w:rPr>
          <w:sz w:val="28"/>
          <w:szCs w:val="28"/>
          <w:u w:val="single"/>
        </w:rPr>
      </w:pPr>
      <w:r w:rsidRPr="0095520C">
        <w:rPr>
          <w:sz w:val="28"/>
          <w:szCs w:val="28"/>
          <w:u w:val="single"/>
        </w:rPr>
        <w:t>GP information sheet</w:t>
      </w:r>
      <w:r w:rsidR="004207DB" w:rsidRPr="0095520C">
        <w:rPr>
          <w:sz w:val="28"/>
          <w:szCs w:val="28"/>
          <w:u w:val="single"/>
        </w:rPr>
        <w:t xml:space="preserve">: </w:t>
      </w:r>
      <w:r w:rsidR="00055800" w:rsidRPr="0095520C">
        <w:rPr>
          <w:sz w:val="28"/>
          <w:szCs w:val="28"/>
          <w:u w:val="single"/>
        </w:rPr>
        <w:t xml:space="preserve"> </w:t>
      </w:r>
      <w:r w:rsidR="004207DB" w:rsidRPr="0095520C">
        <w:rPr>
          <w:sz w:val="28"/>
          <w:szCs w:val="28"/>
          <w:u w:val="single"/>
        </w:rPr>
        <w:t xml:space="preserve">Solent Initiation of </w:t>
      </w:r>
      <w:r w:rsidR="00F241BD" w:rsidRPr="0095520C">
        <w:rPr>
          <w:sz w:val="28"/>
          <w:szCs w:val="28"/>
          <w:u w:val="single"/>
        </w:rPr>
        <w:t>Sayana Press</w:t>
      </w:r>
      <w:r w:rsidR="006761AD" w:rsidRPr="0095520C">
        <w:rPr>
          <w:rFonts w:cstheme="minorHAnsi"/>
          <w:sz w:val="28"/>
          <w:szCs w:val="28"/>
          <w:u w:val="single"/>
        </w:rPr>
        <w:t>®</w:t>
      </w:r>
      <w:r w:rsidR="004207DB" w:rsidRPr="0095520C">
        <w:rPr>
          <w:sz w:val="28"/>
          <w:szCs w:val="28"/>
          <w:u w:val="single"/>
        </w:rPr>
        <w:t xml:space="preserve"> – Primary Care Continuation</w:t>
      </w:r>
      <w:r w:rsidR="00F241BD" w:rsidRPr="0095520C">
        <w:rPr>
          <w:sz w:val="28"/>
          <w:szCs w:val="28"/>
          <w:u w:val="single"/>
        </w:rPr>
        <w:t xml:space="preserve"> (2021)</w:t>
      </w:r>
    </w:p>
    <w:p w14:paraId="3CA38C5F" w14:textId="77777777" w:rsidR="00722DF4" w:rsidRPr="0095520C" w:rsidRDefault="00E4245E">
      <w:pPr>
        <w:rPr>
          <w:sz w:val="20"/>
          <w:szCs w:val="20"/>
        </w:rPr>
      </w:pPr>
      <w:r w:rsidRPr="0095520C">
        <w:rPr>
          <w:sz w:val="20"/>
          <w:szCs w:val="20"/>
        </w:rPr>
        <w:t>Solent NHS Trust Sexual Health Services will be initiat</w:t>
      </w:r>
      <w:r w:rsidR="00F35701">
        <w:rPr>
          <w:sz w:val="20"/>
          <w:szCs w:val="20"/>
        </w:rPr>
        <w:t>ing</w:t>
      </w:r>
      <w:r w:rsidRPr="0095520C">
        <w:rPr>
          <w:sz w:val="20"/>
          <w:szCs w:val="20"/>
        </w:rPr>
        <w:t xml:space="preserve"> patients on </w:t>
      </w:r>
      <w:r w:rsidR="00F241BD" w:rsidRPr="0095520C">
        <w:rPr>
          <w:sz w:val="20"/>
          <w:szCs w:val="20"/>
        </w:rPr>
        <w:t>Sayana Press</w:t>
      </w:r>
      <w:r w:rsidR="006761AD" w:rsidRPr="0095520C">
        <w:rPr>
          <w:rFonts w:cstheme="minorHAnsi"/>
          <w:sz w:val="20"/>
          <w:szCs w:val="20"/>
        </w:rPr>
        <w:t>®</w:t>
      </w:r>
      <w:r w:rsidR="004207DB" w:rsidRPr="0095520C">
        <w:rPr>
          <w:sz w:val="20"/>
          <w:szCs w:val="20"/>
        </w:rPr>
        <w:t>;</w:t>
      </w:r>
      <w:r w:rsidRPr="0095520C">
        <w:rPr>
          <w:sz w:val="20"/>
          <w:szCs w:val="20"/>
        </w:rPr>
        <w:t xml:space="preserve"> subcutaneous progestogen only contraception</w:t>
      </w:r>
      <w:r w:rsidR="0075430B" w:rsidRPr="0095520C">
        <w:rPr>
          <w:sz w:val="20"/>
          <w:szCs w:val="20"/>
        </w:rPr>
        <w:t xml:space="preserve"> </w:t>
      </w:r>
      <w:r w:rsidR="00722DF4" w:rsidRPr="0095520C">
        <w:rPr>
          <w:sz w:val="20"/>
          <w:szCs w:val="20"/>
        </w:rPr>
        <w:t>(</w:t>
      </w:r>
      <w:hyperlink r:id="rId8" w:history="1">
        <w:r w:rsidR="006761AD" w:rsidRPr="0095520C">
          <w:rPr>
            <w:rStyle w:val="Hyperlink"/>
            <w:sz w:val="20"/>
            <w:szCs w:val="20"/>
          </w:rPr>
          <w:t>https://www.sayanaanswers.co.uk/home</w:t>
        </w:r>
      </w:hyperlink>
      <w:r w:rsidR="00722DF4" w:rsidRPr="0095520C">
        <w:rPr>
          <w:sz w:val="20"/>
          <w:szCs w:val="20"/>
        </w:rPr>
        <w:t>)</w:t>
      </w:r>
      <w:r w:rsidR="00990EAC" w:rsidRPr="0095520C">
        <w:rPr>
          <w:sz w:val="20"/>
          <w:szCs w:val="20"/>
        </w:rPr>
        <w:t>, which patients can self-administer at home every 13 weeks</w:t>
      </w:r>
      <w:r w:rsidRPr="0095520C">
        <w:rPr>
          <w:sz w:val="20"/>
          <w:szCs w:val="20"/>
        </w:rPr>
        <w:t xml:space="preserve">. </w:t>
      </w:r>
    </w:p>
    <w:p w14:paraId="694CEE74" w14:textId="77777777" w:rsidR="004207DB" w:rsidRPr="0095520C" w:rsidRDefault="004207DB">
      <w:pPr>
        <w:rPr>
          <w:sz w:val="24"/>
          <w:szCs w:val="24"/>
        </w:rPr>
      </w:pPr>
      <w:r w:rsidRPr="0095520C">
        <w:rPr>
          <w:sz w:val="20"/>
          <w:szCs w:val="20"/>
        </w:rPr>
        <w:t xml:space="preserve">Your practice may already be familiar with prescribing </w:t>
      </w:r>
      <w:r w:rsidR="00F241BD" w:rsidRPr="0095520C">
        <w:rPr>
          <w:sz w:val="20"/>
          <w:szCs w:val="20"/>
        </w:rPr>
        <w:t>Sayana Press</w:t>
      </w:r>
      <w:r w:rsidR="006761AD" w:rsidRPr="0095520C">
        <w:rPr>
          <w:rFonts w:cstheme="minorHAnsi"/>
          <w:sz w:val="20"/>
          <w:szCs w:val="20"/>
        </w:rPr>
        <w:t>®</w:t>
      </w:r>
      <w:r w:rsidRPr="0095520C">
        <w:rPr>
          <w:sz w:val="20"/>
          <w:szCs w:val="20"/>
        </w:rPr>
        <w:t>.</w:t>
      </w:r>
    </w:p>
    <w:p w14:paraId="4764BF18" w14:textId="77777777" w:rsidR="00E4245E" w:rsidRPr="0095520C" w:rsidRDefault="00175833">
      <w:pPr>
        <w:rPr>
          <w:sz w:val="24"/>
          <w:szCs w:val="24"/>
        </w:rPr>
      </w:pPr>
      <w:r w:rsidRPr="0095520C">
        <w:rPr>
          <w:sz w:val="24"/>
          <w:szCs w:val="24"/>
          <w:u w:val="single"/>
        </w:rPr>
        <w:t>P</w:t>
      </w:r>
      <w:r w:rsidR="00D5637B" w:rsidRPr="0095520C">
        <w:rPr>
          <w:sz w:val="24"/>
          <w:szCs w:val="24"/>
          <w:u w:val="single"/>
        </w:rPr>
        <w:t>rocess</w:t>
      </w:r>
      <w:r w:rsidR="004207DB" w:rsidRPr="0095520C">
        <w:rPr>
          <w:sz w:val="24"/>
          <w:szCs w:val="24"/>
        </w:rPr>
        <w:t>:</w:t>
      </w:r>
    </w:p>
    <w:p w14:paraId="7F03C538" w14:textId="77777777" w:rsidR="00E4245E" w:rsidRPr="0095520C" w:rsidRDefault="004F5B33" w:rsidP="00E4245E">
      <w:pPr>
        <w:pStyle w:val="ListParagraph"/>
        <w:numPr>
          <w:ilvl w:val="0"/>
          <w:numId w:val="1"/>
        </w:numPr>
        <w:rPr>
          <w:sz w:val="20"/>
          <w:szCs w:val="20"/>
        </w:rPr>
      </w:pPr>
      <w:r w:rsidRPr="0095520C">
        <w:rPr>
          <w:sz w:val="20"/>
          <w:szCs w:val="20"/>
        </w:rPr>
        <w:t>All patients attending Solent SHS for contraception</w:t>
      </w:r>
      <w:r w:rsidR="00E4245E" w:rsidRPr="0095520C">
        <w:rPr>
          <w:sz w:val="20"/>
          <w:szCs w:val="20"/>
        </w:rPr>
        <w:t xml:space="preserve"> </w:t>
      </w:r>
      <w:r w:rsidR="00096550" w:rsidRPr="0095520C">
        <w:rPr>
          <w:sz w:val="20"/>
          <w:szCs w:val="20"/>
        </w:rPr>
        <w:t>will</w:t>
      </w:r>
      <w:r w:rsidR="006761AD" w:rsidRPr="0095520C">
        <w:rPr>
          <w:sz w:val="20"/>
          <w:szCs w:val="20"/>
        </w:rPr>
        <w:t xml:space="preserve"> be</w:t>
      </w:r>
      <w:r w:rsidR="00096550" w:rsidRPr="0095520C">
        <w:rPr>
          <w:sz w:val="20"/>
          <w:szCs w:val="20"/>
        </w:rPr>
        <w:t xml:space="preserve"> </w:t>
      </w:r>
      <w:r w:rsidR="00E4245E" w:rsidRPr="0095520C">
        <w:rPr>
          <w:sz w:val="20"/>
          <w:szCs w:val="20"/>
        </w:rPr>
        <w:t xml:space="preserve">given full </w:t>
      </w:r>
      <w:r w:rsidRPr="0095520C">
        <w:rPr>
          <w:sz w:val="20"/>
          <w:szCs w:val="20"/>
        </w:rPr>
        <w:t>counselling</w:t>
      </w:r>
      <w:r w:rsidR="00E4245E" w:rsidRPr="0095520C">
        <w:rPr>
          <w:sz w:val="20"/>
          <w:szCs w:val="20"/>
        </w:rPr>
        <w:t xml:space="preserve"> </w:t>
      </w:r>
      <w:r w:rsidRPr="0095520C">
        <w:rPr>
          <w:sz w:val="20"/>
          <w:szCs w:val="20"/>
        </w:rPr>
        <w:t xml:space="preserve">on all available contraceptive options. They may </w:t>
      </w:r>
      <w:r w:rsidR="00E4245E" w:rsidRPr="0095520C">
        <w:rPr>
          <w:sz w:val="20"/>
          <w:szCs w:val="20"/>
        </w:rPr>
        <w:t xml:space="preserve">choose </w:t>
      </w:r>
      <w:r w:rsidR="00F241BD" w:rsidRPr="0095520C">
        <w:rPr>
          <w:sz w:val="20"/>
          <w:szCs w:val="20"/>
        </w:rPr>
        <w:t>Sayana Press</w:t>
      </w:r>
      <w:r w:rsidR="006761AD" w:rsidRPr="0095520C">
        <w:rPr>
          <w:rFonts w:cstheme="minorHAnsi"/>
          <w:sz w:val="20"/>
          <w:szCs w:val="20"/>
        </w:rPr>
        <w:t>®</w:t>
      </w:r>
      <w:r w:rsidR="00E4245E" w:rsidRPr="0095520C">
        <w:rPr>
          <w:sz w:val="20"/>
          <w:szCs w:val="20"/>
        </w:rPr>
        <w:t xml:space="preserve"> </w:t>
      </w:r>
      <w:r w:rsidRPr="0095520C">
        <w:rPr>
          <w:sz w:val="20"/>
          <w:szCs w:val="20"/>
        </w:rPr>
        <w:t xml:space="preserve">as their first option </w:t>
      </w:r>
      <w:r w:rsidR="00E4245E" w:rsidRPr="0095520C">
        <w:rPr>
          <w:b/>
          <w:bCs/>
          <w:i/>
          <w:iCs/>
          <w:sz w:val="20"/>
          <w:szCs w:val="20"/>
        </w:rPr>
        <w:t>or</w:t>
      </w:r>
      <w:r w:rsidR="00E4245E" w:rsidRPr="0095520C">
        <w:rPr>
          <w:sz w:val="20"/>
          <w:szCs w:val="20"/>
        </w:rPr>
        <w:t xml:space="preserve"> </w:t>
      </w:r>
      <w:r w:rsidRPr="0095520C">
        <w:rPr>
          <w:sz w:val="20"/>
          <w:szCs w:val="20"/>
        </w:rPr>
        <w:t>they may choose to switch from their</w:t>
      </w:r>
      <w:r w:rsidR="00E4245E" w:rsidRPr="0095520C">
        <w:rPr>
          <w:sz w:val="20"/>
          <w:szCs w:val="20"/>
        </w:rPr>
        <w:t xml:space="preserve"> intramuscular Depo-Provera</w:t>
      </w:r>
      <w:r w:rsidR="004207DB" w:rsidRPr="0095520C">
        <w:rPr>
          <w:sz w:val="20"/>
          <w:szCs w:val="20"/>
        </w:rPr>
        <w:t>,</w:t>
      </w:r>
      <w:r w:rsidR="00E4245E" w:rsidRPr="0095520C">
        <w:rPr>
          <w:sz w:val="20"/>
          <w:szCs w:val="20"/>
        </w:rPr>
        <w:t xml:space="preserve"> to </w:t>
      </w:r>
      <w:r w:rsidR="006761AD" w:rsidRPr="0095520C">
        <w:rPr>
          <w:sz w:val="20"/>
          <w:szCs w:val="20"/>
        </w:rPr>
        <w:t>this</w:t>
      </w:r>
      <w:r w:rsidRPr="0095520C">
        <w:rPr>
          <w:sz w:val="20"/>
          <w:szCs w:val="20"/>
        </w:rPr>
        <w:t xml:space="preserve"> </w:t>
      </w:r>
      <w:r w:rsidR="00E4245E" w:rsidRPr="0095520C">
        <w:rPr>
          <w:sz w:val="20"/>
          <w:szCs w:val="20"/>
        </w:rPr>
        <w:t>subcutaneous</w:t>
      </w:r>
      <w:r w:rsidRPr="0095520C">
        <w:rPr>
          <w:sz w:val="20"/>
          <w:szCs w:val="20"/>
        </w:rPr>
        <w:t>, self</w:t>
      </w:r>
      <w:r w:rsidR="006761AD" w:rsidRPr="0095520C">
        <w:rPr>
          <w:sz w:val="20"/>
          <w:szCs w:val="20"/>
        </w:rPr>
        <w:t xml:space="preserve"> - </w:t>
      </w:r>
      <w:r w:rsidRPr="0095520C">
        <w:rPr>
          <w:sz w:val="20"/>
          <w:szCs w:val="20"/>
        </w:rPr>
        <w:t xml:space="preserve">administered injection. </w:t>
      </w:r>
    </w:p>
    <w:p w14:paraId="4EB1FCD0" w14:textId="0A8B1A0E" w:rsidR="00E4245E" w:rsidRDefault="00E4245E" w:rsidP="00E4245E">
      <w:pPr>
        <w:pStyle w:val="ListParagraph"/>
        <w:numPr>
          <w:ilvl w:val="0"/>
          <w:numId w:val="1"/>
        </w:numPr>
        <w:rPr>
          <w:sz w:val="20"/>
          <w:szCs w:val="20"/>
        </w:rPr>
      </w:pPr>
      <w:r w:rsidRPr="0095520C">
        <w:rPr>
          <w:sz w:val="20"/>
          <w:szCs w:val="20"/>
        </w:rPr>
        <w:t xml:space="preserve">Patient </w:t>
      </w:r>
      <w:r w:rsidR="00096550" w:rsidRPr="0095520C">
        <w:rPr>
          <w:sz w:val="20"/>
          <w:szCs w:val="20"/>
        </w:rPr>
        <w:t xml:space="preserve">will be </w:t>
      </w:r>
      <w:r w:rsidRPr="0095520C">
        <w:rPr>
          <w:sz w:val="20"/>
          <w:szCs w:val="20"/>
        </w:rPr>
        <w:t xml:space="preserve">trained to use </w:t>
      </w:r>
      <w:r w:rsidR="00F241BD" w:rsidRPr="0095520C">
        <w:rPr>
          <w:sz w:val="20"/>
          <w:szCs w:val="20"/>
        </w:rPr>
        <w:t>Sayana Press</w:t>
      </w:r>
      <w:r w:rsidR="006761AD" w:rsidRPr="0095520C">
        <w:rPr>
          <w:rFonts w:cstheme="minorHAnsi"/>
          <w:sz w:val="20"/>
          <w:szCs w:val="20"/>
        </w:rPr>
        <w:t>®</w:t>
      </w:r>
      <w:r w:rsidRPr="0095520C">
        <w:rPr>
          <w:sz w:val="20"/>
          <w:szCs w:val="20"/>
        </w:rPr>
        <w:t xml:space="preserve"> and </w:t>
      </w:r>
      <w:r w:rsidR="00096550" w:rsidRPr="0095520C">
        <w:rPr>
          <w:sz w:val="20"/>
          <w:szCs w:val="20"/>
        </w:rPr>
        <w:t xml:space="preserve">will be observed </w:t>
      </w:r>
      <w:r w:rsidRPr="0095520C">
        <w:rPr>
          <w:sz w:val="20"/>
          <w:szCs w:val="20"/>
        </w:rPr>
        <w:t>administer</w:t>
      </w:r>
      <w:r w:rsidR="00096550" w:rsidRPr="0095520C">
        <w:rPr>
          <w:sz w:val="20"/>
          <w:szCs w:val="20"/>
        </w:rPr>
        <w:t>ing their</w:t>
      </w:r>
      <w:r w:rsidRPr="0095520C">
        <w:rPr>
          <w:sz w:val="20"/>
          <w:szCs w:val="20"/>
        </w:rPr>
        <w:t xml:space="preserve"> first dose in Sexual Health clinic</w:t>
      </w:r>
      <w:r w:rsidR="00096550" w:rsidRPr="0095520C">
        <w:rPr>
          <w:sz w:val="20"/>
          <w:szCs w:val="20"/>
        </w:rPr>
        <w:t xml:space="preserve">. </w:t>
      </w:r>
    </w:p>
    <w:p w14:paraId="157330B4" w14:textId="7F2023E8" w:rsidR="00BF4ECC" w:rsidRPr="0095520C" w:rsidRDefault="00BF4ECC" w:rsidP="00E4245E">
      <w:pPr>
        <w:pStyle w:val="ListParagraph"/>
        <w:numPr>
          <w:ilvl w:val="0"/>
          <w:numId w:val="1"/>
        </w:numPr>
        <w:rPr>
          <w:sz w:val="20"/>
          <w:szCs w:val="20"/>
        </w:rPr>
      </w:pPr>
      <w:r>
        <w:rPr>
          <w:sz w:val="20"/>
          <w:szCs w:val="20"/>
        </w:rPr>
        <w:t>The second dose may be given in the sexual health clinic by the patient under supervision if they are not confident to administer themselves.  If the patient says that they will not be able to self-administer without supervision in the future, then the methods is not appropriate and other methods of contraception will be discussed.</w:t>
      </w:r>
    </w:p>
    <w:p w14:paraId="1D3CA0FD" w14:textId="77777777" w:rsidR="00F241BD" w:rsidRPr="0095520C" w:rsidRDefault="00F241BD" w:rsidP="00E4245E">
      <w:pPr>
        <w:pStyle w:val="ListParagraph"/>
        <w:numPr>
          <w:ilvl w:val="0"/>
          <w:numId w:val="1"/>
        </w:numPr>
        <w:rPr>
          <w:sz w:val="20"/>
          <w:szCs w:val="20"/>
        </w:rPr>
      </w:pPr>
      <w:r w:rsidRPr="0095520C">
        <w:rPr>
          <w:sz w:val="20"/>
          <w:szCs w:val="20"/>
        </w:rPr>
        <w:t xml:space="preserve">Patient </w:t>
      </w:r>
      <w:r w:rsidR="004F5B33" w:rsidRPr="0095520C">
        <w:rPr>
          <w:sz w:val="20"/>
          <w:szCs w:val="20"/>
        </w:rPr>
        <w:t xml:space="preserve">will be </w:t>
      </w:r>
      <w:r w:rsidRPr="0095520C">
        <w:rPr>
          <w:sz w:val="20"/>
          <w:szCs w:val="20"/>
        </w:rPr>
        <w:t xml:space="preserve">encouraged to sign up for text reminders at </w:t>
      </w:r>
      <w:hyperlink r:id="rId9" w:history="1">
        <w:r w:rsidR="00F6408B" w:rsidRPr="0095520C">
          <w:rPr>
            <w:rStyle w:val="Hyperlink"/>
            <w:sz w:val="20"/>
            <w:szCs w:val="20"/>
          </w:rPr>
          <w:t>www.sayanaanswers.co.uk</w:t>
        </w:r>
      </w:hyperlink>
    </w:p>
    <w:p w14:paraId="39F8D331" w14:textId="77777777" w:rsidR="00F6408B" w:rsidRPr="0095520C" w:rsidRDefault="00F6408B" w:rsidP="00E4245E">
      <w:pPr>
        <w:pStyle w:val="ListParagraph"/>
        <w:numPr>
          <w:ilvl w:val="0"/>
          <w:numId w:val="1"/>
        </w:numPr>
        <w:rPr>
          <w:sz w:val="20"/>
          <w:szCs w:val="20"/>
        </w:rPr>
      </w:pPr>
      <w:r w:rsidRPr="0095520C">
        <w:rPr>
          <w:sz w:val="20"/>
          <w:szCs w:val="20"/>
        </w:rPr>
        <w:t xml:space="preserve">Patient </w:t>
      </w:r>
      <w:r w:rsidR="004F5B33" w:rsidRPr="0095520C">
        <w:rPr>
          <w:sz w:val="20"/>
          <w:szCs w:val="20"/>
        </w:rPr>
        <w:t xml:space="preserve">will be </w:t>
      </w:r>
      <w:r w:rsidRPr="0095520C">
        <w:rPr>
          <w:sz w:val="20"/>
          <w:szCs w:val="20"/>
        </w:rPr>
        <w:t xml:space="preserve">given link to video instructions </w:t>
      </w:r>
      <w:r w:rsidR="0079118F" w:rsidRPr="0095520C">
        <w:rPr>
          <w:sz w:val="20"/>
          <w:szCs w:val="20"/>
        </w:rPr>
        <w:t>(</w:t>
      </w:r>
      <w:hyperlink r:id="rId10" w:history="1">
        <w:r w:rsidR="006761AD" w:rsidRPr="0095520C">
          <w:rPr>
            <w:rStyle w:val="Hyperlink"/>
            <w:sz w:val="20"/>
            <w:szCs w:val="20"/>
          </w:rPr>
          <w:t>https://www.sayanaanswers.co.uk/guide-to-self-injection</w:t>
        </w:r>
      </w:hyperlink>
      <w:r w:rsidR="0079118F" w:rsidRPr="0095520C">
        <w:rPr>
          <w:sz w:val="20"/>
          <w:szCs w:val="20"/>
        </w:rPr>
        <w:t>)</w:t>
      </w:r>
    </w:p>
    <w:p w14:paraId="19CACB01" w14:textId="5EA174D8" w:rsidR="00E4245E" w:rsidRPr="0095520C" w:rsidRDefault="00E4245E" w:rsidP="00E4245E">
      <w:pPr>
        <w:pStyle w:val="ListParagraph"/>
        <w:numPr>
          <w:ilvl w:val="0"/>
          <w:numId w:val="1"/>
        </w:numPr>
        <w:rPr>
          <w:sz w:val="20"/>
          <w:szCs w:val="20"/>
        </w:rPr>
      </w:pPr>
      <w:r w:rsidRPr="0095520C">
        <w:rPr>
          <w:sz w:val="20"/>
          <w:szCs w:val="20"/>
        </w:rPr>
        <w:t xml:space="preserve">Sexual Health clinic </w:t>
      </w:r>
      <w:r w:rsidR="00FB5C3B" w:rsidRPr="0095520C">
        <w:rPr>
          <w:sz w:val="20"/>
          <w:szCs w:val="20"/>
        </w:rPr>
        <w:t xml:space="preserve">will </w:t>
      </w:r>
      <w:r w:rsidR="006761AD" w:rsidRPr="009E15C9">
        <w:rPr>
          <w:sz w:val="20"/>
          <w:szCs w:val="20"/>
        </w:rPr>
        <w:t>giv</w:t>
      </w:r>
      <w:r w:rsidR="00FB5C3B" w:rsidRPr="009E15C9">
        <w:rPr>
          <w:sz w:val="20"/>
          <w:szCs w:val="20"/>
        </w:rPr>
        <w:t>e</w:t>
      </w:r>
      <w:r w:rsidR="00FB5C3B" w:rsidRPr="0095520C">
        <w:rPr>
          <w:sz w:val="20"/>
          <w:szCs w:val="20"/>
        </w:rPr>
        <w:t xml:space="preserve"> </w:t>
      </w:r>
      <w:r w:rsidRPr="0095520C">
        <w:rPr>
          <w:sz w:val="20"/>
          <w:szCs w:val="20"/>
        </w:rPr>
        <w:t>patient</w:t>
      </w:r>
      <w:r w:rsidR="008D4163">
        <w:rPr>
          <w:sz w:val="20"/>
          <w:szCs w:val="20"/>
        </w:rPr>
        <w:t>s</w:t>
      </w:r>
      <w:r w:rsidR="00FB5C3B" w:rsidRPr="0095520C">
        <w:rPr>
          <w:sz w:val="20"/>
          <w:szCs w:val="20"/>
        </w:rPr>
        <w:t xml:space="preserve"> a </w:t>
      </w:r>
      <w:r w:rsidRPr="0095520C">
        <w:rPr>
          <w:sz w:val="20"/>
          <w:szCs w:val="20"/>
        </w:rPr>
        <w:t xml:space="preserve">letter </w:t>
      </w:r>
      <w:r w:rsidR="004207DB" w:rsidRPr="0095520C">
        <w:rPr>
          <w:sz w:val="20"/>
          <w:szCs w:val="20"/>
        </w:rPr>
        <w:t xml:space="preserve">and </w:t>
      </w:r>
      <w:r w:rsidR="00FB5C3B" w:rsidRPr="009E15C9">
        <w:rPr>
          <w:sz w:val="20"/>
          <w:szCs w:val="20"/>
        </w:rPr>
        <w:t xml:space="preserve">will </w:t>
      </w:r>
      <w:r w:rsidR="006761AD" w:rsidRPr="009E15C9">
        <w:rPr>
          <w:sz w:val="20"/>
          <w:szCs w:val="20"/>
        </w:rPr>
        <w:t xml:space="preserve">send a </w:t>
      </w:r>
      <w:r w:rsidR="00FB5C3B" w:rsidRPr="009E15C9">
        <w:rPr>
          <w:sz w:val="20"/>
          <w:szCs w:val="20"/>
        </w:rPr>
        <w:t>copy</w:t>
      </w:r>
      <w:r w:rsidR="006761AD" w:rsidRPr="009E15C9">
        <w:rPr>
          <w:sz w:val="20"/>
          <w:szCs w:val="20"/>
        </w:rPr>
        <w:t xml:space="preserve"> to</w:t>
      </w:r>
      <w:r w:rsidR="00FB5C3B" w:rsidRPr="009E15C9">
        <w:rPr>
          <w:sz w:val="20"/>
          <w:szCs w:val="20"/>
        </w:rPr>
        <w:t xml:space="preserve"> their</w:t>
      </w:r>
      <w:r w:rsidRPr="009E15C9">
        <w:rPr>
          <w:sz w:val="20"/>
          <w:szCs w:val="20"/>
        </w:rPr>
        <w:t xml:space="preserve"> GP</w:t>
      </w:r>
      <w:r w:rsidRPr="0095520C">
        <w:rPr>
          <w:sz w:val="20"/>
          <w:szCs w:val="20"/>
        </w:rPr>
        <w:t xml:space="preserve"> advising of </w:t>
      </w:r>
      <w:r w:rsidR="00FB5C3B" w:rsidRPr="0095520C">
        <w:rPr>
          <w:sz w:val="20"/>
          <w:szCs w:val="20"/>
        </w:rPr>
        <w:t xml:space="preserve">the </w:t>
      </w:r>
      <w:r w:rsidRPr="0095520C">
        <w:rPr>
          <w:sz w:val="20"/>
          <w:szCs w:val="20"/>
        </w:rPr>
        <w:t xml:space="preserve">start of </w:t>
      </w:r>
      <w:r w:rsidR="00FB5C3B" w:rsidRPr="0095520C">
        <w:rPr>
          <w:sz w:val="20"/>
          <w:szCs w:val="20"/>
        </w:rPr>
        <w:t xml:space="preserve">this </w:t>
      </w:r>
      <w:r w:rsidRPr="0095520C">
        <w:rPr>
          <w:sz w:val="20"/>
          <w:szCs w:val="20"/>
        </w:rPr>
        <w:t>medication</w:t>
      </w:r>
      <w:r w:rsidR="009E15C9">
        <w:rPr>
          <w:sz w:val="20"/>
          <w:szCs w:val="20"/>
        </w:rPr>
        <w:t>.</w:t>
      </w:r>
    </w:p>
    <w:p w14:paraId="13DAB4CA" w14:textId="730C5915" w:rsidR="00E4245E" w:rsidRPr="0095520C" w:rsidRDefault="00E4245E" w:rsidP="00E4245E">
      <w:pPr>
        <w:pStyle w:val="ListParagraph"/>
        <w:numPr>
          <w:ilvl w:val="0"/>
          <w:numId w:val="1"/>
        </w:numPr>
        <w:rPr>
          <w:sz w:val="20"/>
          <w:szCs w:val="20"/>
        </w:rPr>
      </w:pPr>
      <w:r w:rsidRPr="0095520C">
        <w:rPr>
          <w:sz w:val="20"/>
          <w:szCs w:val="20"/>
        </w:rPr>
        <w:t>Patient</w:t>
      </w:r>
      <w:r w:rsidR="008D4163">
        <w:rPr>
          <w:sz w:val="20"/>
          <w:szCs w:val="20"/>
        </w:rPr>
        <w:t>s</w:t>
      </w:r>
      <w:r w:rsidRPr="0095520C">
        <w:rPr>
          <w:sz w:val="20"/>
          <w:szCs w:val="20"/>
        </w:rPr>
        <w:t xml:space="preserve"> </w:t>
      </w:r>
      <w:r w:rsidR="00FB5C3B" w:rsidRPr="0095520C">
        <w:rPr>
          <w:sz w:val="20"/>
          <w:szCs w:val="20"/>
        </w:rPr>
        <w:t xml:space="preserve">will need to </w:t>
      </w:r>
      <w:r w:rsidRPr="0095520C">
        <w:rPr>
          <w:sz w:val="20"/>
          <w:szCs w:val="20"/>
        </w:rPr>
        <w:t>contact</w:t>
      </w:r>
      <w:r w:rsidR="00FB5C3B" w:rsidRPr="0095520C">
        <w:rPr>
          <w:sz w:val="20"/>
          <w:szCs w:val="20"/>
        </w:rPr>
        <w:t xml:space="preserve"> their</w:t>
      </w:r>
      <w:r w:rsidRPr="0095520C">
        <w:rPr>
          <w:sz w:val="20"/>
          <w:szCs w:val="20"/>
        </w:rPr>
        <w:t xml:space="preserve"> GP to request </w:t>
      </w:r>
      <w:r w:rsidR="00FB5C3B" w:rsidRPr="0095520C">
        <w:rPr>
          <w:sz w:val="20"/>
          <w:szCs w:val="20"/>
        </w:rPr>
        <w:t xml:space="preserve">a prescription for their </w:t>
      </w:r>
      <w:r w:rsidRPr="0095520C">
        <w:rPr>
          <w:sz w:val="20"/>
          <w:szCs w:val="20"/>
        </w:rPr>
        <w:t>next dose (</w:t>
      </w:r>
      <w:r w:rsidR="00FB5C3B" w:rsidRPr="0095520C">
        <w:rPr>
          <w:sz w:val="20"/>
          <w:szCs w:val="20"/>
        </w:rPr>
        <w:t>which they should</w:t>
      </w:r>
      <w:r w:rsidRPr="0095520C">
        <w:rPr>
          <w:sz w:val="20"/>
          <w:szCs w:val="20"/>
        </w:rPr>
        <w:t xml:space="preserve"> self-administer</w:t>
      </w:r>
      <w:r w:rsidR="00FA24BE" w:rsidRPr="0095520C">
        <w:rPr>
          <w:sz w:val="20"/>
          <w:szCs w:val="20"/>
        </w:rPr>
        <w:t xml:space="preserve"> at</w:t>
      </w:r>
      <w:r w:rsidRPr="0095520C">
        <w:rPr>
          <w:sz w:val="20"/>
          <w:szCs w:val="20"/>
        </w:rPr>
        <w:t xml:space="preserve"> home </w:t>
      </w:r>
      <w:r w:rsidRPr="0095520C">
        <w:rPr>
          <w:b/>
          <w:bCs/>
          <w:sz w:val="20"/>
          <w:szCs w:val="20"/>
        </w:rPr>
        <w:t>13 weeks</w:t>
      </w:r>
      <w:r w:rsidRPr="0095520C">
        <w:rPr>
          <w:sz w:val="20"/>
          <w:szCs w:val="20"/>
        </w:rPr>
        <w:t xml:space="preserve"> after </w:t>
      </w:r>
      <w:r w:rsidR="00FB5C3B" w:rsidRPr="0095520C">
        <w:rPr>
          <w:sz w:val="20"/>
          <w:szCs w:val="20"/>
        </w:rPr>
        <w:t xml:space="preserve">their </w:t>
      </w:r>
      <w:r w:rsidRPr="0095520C">
        <w:rPr>
          <w:sz w:val="20"/>
          <w:szCs w:val="20"/>
        </w:rPr>
        <w:t>first dose</w:t>
      </w:r>
      <w:r w:rsidR="00F73258" w:rsidRPr="0095520C">
        <w:rPr>
          <w:sz w:val="20"/>
          <w:szCs w:val="20"/>
        </w:rPr>
        <w:t xml:space="preserve"> (</w:t>
      </w:r>
      <w:r w:rsidR="00FB5C3B" w:rsidRPr="0095520C">
        <w:rPr>
          <w:sz w:val="20"/>
          <w:szCs w:val="20"/>
        </w:rPr>
        <w:t xml:space="preserve">usual injection interval </w:t>
      </w:r>
      <w:r w:rsidR="00F73258" w:rsidRPr="0095520C">
        <w:rPr>
          <w:sz w:val="20"/>
          <w:szCs w:val="20"/>
        </w:rPr>
        <w:t>can be 10-14 weeks)</w:t>
      </w:r>
      <w:r w:rsidRPr="0095520C">
        <w:rPr>
          <w:sz w:val="20"/>
          <w:szCs w:val="20"/>
        </w:rPr>
        <w:t>)</w:t>
      </w:r>
    </w:p>
    <w:p w14:paraId="4856718A" w14:textId="77777777" w:rsidR="00E4245E" w:rsidRPr="0095520C" w:rsidRDefault="00E4245E" w:rsidP="00E4245E">
      <w:pPr>
        <w:pStyle w:val="ListParagraph"/>
        <w:numPr>
          <w:ilvl w:val="0"/>
          <w:numId w:val="1"/>
        </w:numPr>
        <w:rPr>
          <w:sz w:val="20"/>
          <w:szCs w:val="20"/>
        </w:rPr>
      </w:pPr>
      <w:r w:rsidRPr="0095520C">
        <w:rPr>
          <w:sz w:val="20"/>
          <w:szCs w:val="20"/>
        </w:rPr>
        <w:t xml:space="preserve">GP </w:t>
      </w:r>
      <w:r w:rsidR="00FB5C3B" w:rsidRPr="0095520C">
        <w:rPr>
          <w:sz w:val="20"/>
          <w:szCs w:val="20"/>
        </w:rPr>
        <w:t xml:space="preserve">will need to </w:t>
      </w:r>
      <w:r w:rsidRPr="0095520C">
        <w:rPr>
          <w:sz w:val="20"/>
          <w:szCs w:val="20"/>
        </w:rPr>
        <w:t>prescribe</w:t>
      </w:r>
      <w:r w:rsidR="00FB5C3B" w:rsidRPr="0095520C">
        <w:rPr>
          <w:sz w:val="20"/>
          <w:szCs w:val="20"/>
        </w:rPr>
        <w:t xml:space="preserve"> all subsequent doses of Sayana Press</w:t>
      </w:r>
      <w:r w:rsidR="006761AD" w:rsidRPr="0095520C">
        <w:rPr>
          <w:rFonts w:cstheme="minorHAnsi"/>
          <w:sz w:val="20"/>
          <w:szCs w:val="20"/>
        </w:rPr>
        <w:t>®</w:t>
      </w:r>
      <w:r w:rsidR="00FB5C3B" w:rsidRPr="0095520C">
        <w:rPr>
          <w:sz w:val="20"/>
          <w:szCs w:val="20"/>
        </w:rPr>
        <w:t xml:space="preserve"> </w:t>
      </w:r>
      <w:r w:rsidRPr="0095520C">
        <w:rPr>
          <w:sz w:val="20"/>
          <w:szCs w:val="20"/>
        </w:rPr>
        <w:t>and</w:t>
      </w:r>
      <w:r w:rsidR="00FB5C3B" w:rsidRPr="0095520C">
        <w:rPr>
          <w:sz w:val="20"/>
          <w:szCs w:val="20"/>
        </w:rPr>
        <w:t xml:space="preserve"> will need to</w:t>
      </w:r>
      <w:r w:rsidR="006761AD" w:rsidRPr="0095520C">
        <w:rPr>
          <w:sz w:val="20"/>
          <w:szCs w:val="20"/>
        </w:rPr>
        <w:t xml:space="preserve"> </w:t>
      </w:r>
      <w:r w:rsidR="00F241BD" w:rsidRPr="0095520C">
        <w:rPr>
          <w:sz w:val="20"/>
          <w:szCs w:val="20"/>
        </w:rPr>
        <w:t>suppl</w:t>
      </w:r>
      <w:r w:rsidR="00FB5C3B" w:rsidRPr="0095520C">
        <w:rPr>
          <w:sz w:val="20"/>
          <w:szCs w:val="20"/>
        </w:rPr>
        <w:t>y</w:t>
      </w:r>
      <w:r w:rsidR="00FA24BE" w:rsidRPr="0095520C">
        <w:rPr>
          <w:sz w:val="20"/>
          <w:szCs w:val="20"/>
        </w:rPr>
        <w:t xml:space="preserve"> </w:t>
      </w:r>
      <w:r w:rsidR="00FB5C3B" w:rsidRPr="0095520C">
        <w:rPr>
          <w:sz w:val="20"/>
          <w:szCs w:val="20"/>
        </w:rPr>
        <w:t>a</w:t>
      </w:r>
      <w:r w:rsidR="009E15C9">
        <w:rPr>
          <w:sz w:val="20"/>
          <w:szCs w:val="20"/>
        </w:rPr>
        <w:t xml:space="preserve"> </w:t>
      </w:r>
      <w:r w:rsidR="00F241BD" w:rsidRPr="0095520C">
        <w:rPr>
          <w:sz w:val="20"/>
          <w:szCs w:val="20"/>
        </w:rPr>
        <w:t>small</w:t>
      </w:r>
      <w:r w:rsidR="009E15C9">
        <w:rPr>
          <w:sz w:val="20"/>
          <w:szCs w:val="20"/>
        </w:rPr>
        <w:t xml:space="preserve"> </w:t>
      </w:r>
      <w:r w:rsidRPr="0095520C">
        <w:rPr>
          <w:b/>
          <w:bCs/>
          <w:sz w:val="20"/>
          <w:szCs w:val="20"/>
        </w:rPr>
        <w:t>purple</w:t>
      </w:r>
      <w:r w:rsidR="00F6408B" w:rsidRPr="0095520C">
        <w:rPr>
          <w:b/>
          <w:bCs/>
          <w:sz w:val="20"/>
          <w:szCs w:val="20"/>
        </w:rPr>
        <w:t>-</w:t>
      </w:r>
      <w:r w:rsidRPr="0095520C">
        <w:rPr>
          <w:b/>
          <w:bCs/>
          <w:sz w:val="20"/>
          <w:szCs w:val="20"/>
        </w:rPr>
        <w:t>lidded</w:t>
      </w:r>
      <w:r w:rsidRPr="0095520C">
        <w:rPr>
          <w:sz w:val="20"/>
          <w:szCs w:val="20"/>
        </w:rPr>
        <w:t xml:space="preserve"> sharps bin for patient to use at home</w:t>
      </w:r>
      <w:r w:rsidR="009E15C9">
        <w:rPr>
          <w:sz w:val="20"/>
          <w:szCs w:val="20"/>
        </w:rPr>
        <w:t>.</w:t>
      </w:r>
    </w:p>
    <w:p w14:paraId="374E91E7" w14:textId="77777777" w:rsidR="00F241BD" w:rsidRPr="0095520C" w:rsidRDefault="00F241BD" w:rsidP="00E4245E">
      <w:pPr>
        <w:pStyle w:val="ListParagraph"/>
        <w:numPr>
          <w:ilvl w:val="0"/>
          <w:numId w:val="1"/>
        </w:numPr>
        <w:rPr>
          <w:sz w:val="20"/>
          <w:szCs w:val="20"/>
        </w:rPr>
      </w:pPr>
      <w:r w:rsidRPr="0095520C">
        <w:rPr>
          <w:sz w:val="20"/>
          <w:szCs w:val="20"/>
        </w:rPr>
        <w:t xml:space="preserve">GP </w:t>
      </w:r>
      <w:r w:rsidR="00FB5C3B" w:rsidRPr="0095520C">
        <w:rPr>
          <w:sz w:val="20"/>
          <w:szCs w:val="20"/>
        </w:rPr>
        <w:t xml:space="preserve">will need to </w:t>
      </w:r>
      <w:r w:rsidRPr="0095520C">
        <w:rPr>
          <w:sz w:val="20"/>
          <w:szCs w:val="20"/>
        </w:rPr>
        <w:t>inform patient how to</w:t>
      </w:r>
      <w:r w:rsidR="00FB5C3B" w:rsidRPr="0095520C">
        <w:rPr>
          <w:sz w:val="20"/>
          <w:szCs w:val="20"/>
        </w:rPr>
        <w:t xml:space="preserve"> arrange for the</w:t>
      </w:r>
      <w:r w:rsidRPr="0095520C">
        <w:rPr>
          <w:sz w:val="20"/>
          <w:szCs w:val="20"/>
        </w:rPr>
        <w:t xml:space="preserve"> dispos</w:t>
      </w:r>
      <w:r w:rsidR="00FB5C3B" w:rsidRPr="0095520C">
        <w:rPr>
          <w:sz w:val="20"/>
          <w:szCs w:val="20"/>
        </w:rPr>
        <w:t>al</w:t>
      </w:r>
      <w:r w:rsidRPr="0095520C">
        <w:rPr>
          <w:sz w:val="20"/>
          <w:szCs w:val="20"/>
        </w:rPr>
        <w:t xml:space="preserve"> of </w:t>
      </w:r>
      <w:r w:rsidR="00FB5C3B" w:rsidRPr="0095520C">
        <w:rPr>
          <w:sz w:val="20"/>
          <w:szCs w:val="20"/>
        </w:rPr>
        <w:t xml:space="preserve">the </w:t>
      </w:r>
      <w:r w:rsidRPr="0095520C">
        <w:rPr>
          <w:sz w:val="20"/>
          <w:szCs w:val="20"/>
        </w:rPr>
        <w:t>sharps bin</w:t>
      </w:r>
      <w:r w:rsidR="00FB5C3B" w:rsidRPr="0095520C">
        <w:rPr>
          <w:sz w:val="20"/>
          <w:szCs w:val="20"/>
        </w:rPr>
        <w:t xml:space="preserve"> and subsequent supplies of the sharps bins as required</w:t>
      </w:r>
      <w:r w:rsidR="009E15C9">
        <w:rPr>
          <w:sz w:val="20"/>
          <w:szCs w:val="20"/>
        </w:rPr>
        <w:t>.</w:t>
      </w:r>
    </w:p>
    <w:p w14:paraId="5C400B6E" w14:textId="77777777" w:rsidR="00061587" w:rsidRPr="0095520C" w:rsidRDefault="00061587" w:rsidP="00061587">
      <w:pPr>
        <w:pStyle w:val="ListParagraph"/>
        <w:numPr>
          <w:ilvl w:val="0"/>
          <w:numId w:val="1"/>
        </w:numPr>
        <w:rPr>
          <w:sz w:val="20"/>
          <w:szCs w:val="20"/>
        </w:rPr>
      </w:pPr>
      <w:r w:rsidRPr="0095520C">
        <w:rPr>
          <w:sz w:val="20"/>
          <w:szCs w:val="20"/>
        </w:rPr>
        <w:t>GP prescriber will be responsible for checking that patient has not developed any new contra-indications to Sayana Press</w:t>
      </w:r>
      <w:r w:rsidR="006761AD" w:rsidRPr="0095520C">
        <w:rPr>
          <w:rFonts w:cstheme="minorHAnsi"/>
          <w:sz w:val="20"/>
          <w:szCs w:val="20"/>
        </w:rPr>
        <w:t>®</w:t>
      </w:r>
      <w:r w:rsidRPr="0095520C">
        <w:rPr>
          <w:sz w:val="20"/>
          <w:szCs w:val="20"/>
        </w:rPr>
        <w:t xml:space="preserve"> during ongoing </w:t>
      </w:r>
      <w:r w:rsidR="009E15C9">
        <w:rPr>
          <w:sz w:val="20"/>
          <w:szCs w:val="20"/>
        </w:rPr>
        <w:t>use:</w:t>
      </w:r>
      <w:r w:rsidRPr="0095520C">
        <w:rPr>
          <w:sz w:val="20"/>
          <w:szCs w:val="20"/>
        </w:rPr>
        <w:t xml:space="preserve"> </w:t>
      </w:r>
    </w:p>
    <w:p w14:paraId="200363DD" w14:textId="77777777" w:rsidR="009E15C9" w:rsidRDefault="00061587" w:rsidP="0085726C">
      <w:pPr>
        <w:pStyle w:val="ListParagraph"/>
        <w:numPr>
          <w:ilvl w:val="1"/>
          <w:numId w:val="1"/>
        </w:numPr>
        <w:rPr>
          <w:sz w:val="20"/>
          <w:szCs w:val="20"/>
        </w:rPr>
      </w:pPr>
      <w:r w:rsidRPr="0095520C">
        <w:rPr>
          <w:sz w:val="20"/>
          <w:szCs w:val="20"/>
        </w:rPr>
        <w:t xml:space="preserve">see </w:t>
      </w:r>
      <w:r w:rsidR="006761AD" w:rsidRPr="0095520C">
        <w:rPr>
          <w:sz w:val="20"/>
          <w:szCs w:val="20"/>
        </w:rPr>
        <w:t>current</w:t>
      </w:r>
      <w:r w:rsidR="0095520C" w:rsidRPr="0095520C">
        <w:rPr>
          <w:sz w:val="20"/>
          <w:szCs w:val="20"/>
        </w:rPr>
        <w:t xml:space="preserve"> </w:t>
      </w:r>
      <w:r w:rsidR="006761AD" w:rsidRPr="0095520C">
        <w:rPr>
          <w:sz w:val="20"/>
          <w:szCs w:val="20"/>
        </w:rPr>
        <w:t>FSRH Guidance on Injectable Contraception</w:t>
      </w:r>
      <w:r w:rsidRPr="0095520C">
        <w:rPr>
          <w:sz w:val="20"/>
          <w:szCs w:val="20"/>
        </w:rPr>
        <w:t xml:space="preserve"> </w:t>
      </w:r>
      <w:hyperlink r:id="rId11" w:history="1">
        <w:r w:rsidR="006761AD" w:rsidRPr="0095520C">
          <w:rPr>
            <w:rStyle w:val="Hyperlink"/>
            <w:sz w:val="20"/>
            <w:szCs w:val="20"/>
          </w:rPr>
          <w:t>https://www.fsrh.org/standards-and-guidance/documents/cec-ceu-guidance-injectables-dec-2014/</w:t>
        </w:r>
      </w:hyperlink>
    </w:p>
    <w:p w14:paraId="3D1AD427" w14:textId="77777777" w:rsidR="00061587" w:rsidRPr="0095520C" w:rsidRDefault="00061587" w:rsidP="0085726C">
      <w:pPr>
        <w:pStyle w:val="ListParagraph"/>
        <w:numPr>
          <w:ilvl w:val="1"/>
          <w:numId w:val="1"/>
        </w:numPr>
        <w:rPr>
          <w:sz w:val="20"/>
          <w:szCs w:val="20"/>
        </w:rPr>
      </w:pPr>
      <w:r w:rsidRPr="0095520C">
        <w:rPr>
          <w:sz w:val="20"/>
          <w:szCs w:val="20"/>
        </w:rPr>
        <w:t>and UK</w:t>
      </w:r>
      <w:r w:rsidR="006761AD" w:rsidRPr="0095520C">
        <w:rPr>
          <w:sz w:val="20"/>
          <w:szCs w:val="20"/>
        </w:rPr>
        <w:t xml:space="preserve"> Medical Eligibility Criteria </w:t>
      </w:r>
      <w:hyperlink r:id="rId12" w:history="1">
        <w:r w:rsidR="006761AD" w:rsidRPr="0095520C">
          <w:rPr>
            <w:rStyle w:val="Hyperlink"/>
            <w:sz w:val="20"/>
            <w:szCs w:val="20"/>
          </w:rPr>
          <w:t>https://www.fsrh.org/standards-and-guidance/uk-medical-eligibility-criteria-for-contraceptive-use-ukmec/</w:t>
        </w:r>
      </w:hyperlink>
    </w:p>
    <w:p w14:paraId="49499EDB" w14:textId="77777777" w:rsidR="00FB5C3B" w:rsidRPr="0095520C" w:rsidRDefault="00FB5C3B" w:rsidP="0095520C">
      <w:pPr>
        <w:pStyle w:val="ListParagraph"/>
        <w:rPr>
          <w:sz w:val="20"/>
          <w:szCs w:val="20"/>
        </w:rPr>
      </w:pPr>
    </w:p>
    <w:p w14:paraId="2860045D" w14:textId="77777777" w:rsidR="00F35701" w:rsidRDefault="00061587" w:rsidP="00E4245E">
      <w:pPr>
        <w:pStyle w:val="ListParagraph"/>
        <w:numPr>
          <w:ilvl w:val="0"/>
          <w:numId w:val="1"/>
        </w:numPr>
        <w:rPr>
          <w:sz w:val="20"/>
          <w:szCs w:val="20"/>
        </w:rPr>
      </w:pPr>
      <w:r w:rsidRPr="0095520C">
        <w:rPr>
          <w:b/>
          <w:bCs/>
          <w:sz w:val="20"/>
          <w:szCs w:val="20"/>
        </w:rPr>
        <w:t>GP prescriber should ensure that patient ha</w:t>
      </w:r>
      <w:r w:rsidR="009E15C9">
        <w:rPr>
          <w:b/>
          <w:bCs/>
          <w:sz w:val="20"/>
          <w:szCs w:val="20"/>
        </w:rPr>
        <w:t>s</w:t>
      </w:r>
      <w:r w:rsidRPr="0095520C">
        <w:rPr>
          <w:b/>
          <w:bCs/>
          <w:sz w:val="20"/>
          <w:szCs w:val="20"/>
        </w:rPr>
        <w:t xml:space="preserve"> a </w:t>
      </w:r>
      <w:r w:rsidR="004207DB" w:rsidRPr="0095520C">
        <w:rPr>
          <w:b/>
          <w:bCs/>
          <w:sz w:val="20"/>
          <w:szCs w:val="20"/>
        </w:rPr>
        <w:t xml:space="preserve">2-yearly review </w:t>
      </w:r>
      <w:r w:rsidR="004207DB" w:rsidRPr="0095520C">
        <w:rPr>
          <w:sz w:val="20"/>
          <w:szCs w:val="20"/>
        </w:rPr>
        <w:t>to discuss</w:t>
      </w:r>
      <w:r w:rsidR="00F35701">
        <w:rPr>
          <w:sz w:val="20"/>
          <w:szCs w:val="20"/>
        </w:rPr>
        <w:t xml:space="preserve">: </w:t>
      </w:r>
    </w:p>
    <w:p w14:paraId="06941E3C" w14:textId="77777777" w:rsidR="004207DB" w:rsidRPr="00F35701" w:rsidRDefault="00F35701" w:rsidP="009E15C9">
      <w:pPr>
        <w:pStyle w:val="ListParagraph"/>
        <w:numPr>
          <w:ilvl w:val="2"/>
          <w:numId w:val="1"/>
        </w:numPr>
        <w:jc w:val="both"/>
        <w:outlineLvl w:val="0"/>
        <w:rPr>
          <w:rFonts w:cstheme="minorHAnsi"/>
          <w:sz w:val="20"/>
        </w:rPr>
      </w:pPr>
      <w:r w:rsidRPr="00F35701">
        <w:rPr>
          <w:sz w:val="20"/>
          <w:szCs w:val="20"/>
        </w:rPr>
        <w:t xml:space="preserve">Potential </w:t>
      </w:r>
      <w:r w:rsidR="009E15C9">
        <w:rPr>
          <w:sz w:val="20"/>
          <w:szCs w:val="20"/>
        </w:rPr>
        <w:t>e</w:t>
      </w:r>
      <w:r w:rsidRPr="00F35701">
        <w:rPr>
          <w:sz w:val="20"/>
          <w:szCs w:val="20"/>
        </w:rPr>
        <w:t xml:space="preserve">ffect on </w:t>
      </w:r>
      <w:r w:rsidR="004207DB" w:rsidRPr="00F35701">
        <w:rPr>
          <w:sz w:val="20"/>
          <w:szCs w:val="20"/>
        </w:rPr>
        <w:t>bone mineral density</w:t>
      </w:r>
      <w:r w:rsidR="009E15C9">
        <w:rPr>
          <w:sz w:val="20"/>
          <w:szCs w:val="20"/>
        </w:rPr>
        <w:t>/</w:t>
      </w:r>
      <w:r w:rsidR="009E15C9">
        <w:rPr>
          <w:rFonts w:cstheme="minorHAnsi"/>
          <w:sz w:val="20"/>
        </w:rPr>
        <w:t>r</w:t>
      </w:r>
      <w:r w:rsidR="004207DB" w:rsidRPr="00F35701">
        <w:rPr>
          <w:rFonts w:cstheme="minorHAnsi"/>
          <w:sz w:val="20"/>
        </w:rPr>
        <w:t>isk factors for osteoporosis</w:t>
      </w:r>
      <w:r w:rsidR="00F6408B" w:rsidRPr="00F35701">
        <w:rPr>
          <w:rFonts w:cstheme="minorHAnsi"/>
          <w:sz w:val="20"/>
        </w:rPr>
        <w:t xml:space="preserve">, </w:t>
      </w:r>
      <w:r w:rsidR="004207DB" w:rsidRPr="00F35701">
        <w:rPr>
          <w:rFonts w:cstheme="minorHAnsi"/>
          <w:sz w:val="20"/>
        </w:rPr>
        <w:t>including</w:t>
      </w:r>
      <w:r w:rsidR="00AF4241">
        <w:rPr>
          <w:rFonts w:cstheme="minorHAnsi"/>
          <w:sz w:val="20"/>
        </w:rPr>
        <w:t>:</w:t>
      </w:r>
      <w:r w:rsidR="004207DB" w:rsidRPr="00F35701">
        <w:rPr>
          <w:rFonts w:cstheme="minorHAnsi"/>
          <w:sz w:val="20"/>
        </w:rPr>
        <w:t xml:space="preserve"> </w:t>
      </w:r>
    </w:p>
    <w:p w14:paraId="7B588AFB"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A</w:t>
      </w:r>
      <w:r w:rsidR="004207DB" w:rsidRPr="0095520C">
        <w:rPr>
          <w:rFonts w:asciiTheme="minorHAnsi" w:hAnsiTheme="minorHAnsi" w:cstheme="minorHAnsi"/>
          <w:sz w:val="20"/>
        </w:rPr>
        <w:t>lcohol and/or tobacco use</w:t>
      </w:r>
    </w:p>
    <w:p w14:paraId="0ED8BF50"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L</w:t>
      </w:r>
      <w:r w:rsidR="004207DB" w:rsidRPr="0095520C">
        <w:rPr>
          <w:rFonts w:asciiTheme="minorHAnsi" w:hAnsiTheme="minorHAnsi" w:cstheme="minorHAnsi"/>
          <w:sz w:val="20"/>
        </w:rPr>
        <w:t xml:space="preserve">ow BMI </w:t>
      </w:r>
      <w:r>
        <w:rPr>
          <w:rFonts w:asciiTheme="minorHAnsi" w:hAnsiTheme="minorHAnsi" w:cstheme="minorHAnsi"/>
          <w:sz w:val="20"/>
        </w:rPr>
        <w:t>and/or</w:t>
      </w:r>
      <w:r w:rsidR="004207DB" w:rsidRPr="0095520C">
        <w:rPr>
          <w:rFonts w:asciiTheme="minorHAnsi" w:hAnsiTheme="minorHAnsi" w:cstheme="minorHAnsi"/>
          <w:sz w:val="20"/>
        </w:rPr>
        <w:t xml:space="preserve"> eating disorder </w:t>
      </w:r>
    </w:p>
    <w:p w14:paraId="2C302AEB"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P</w:t>
      </w:r>
      <w:r w:rsidR="004207DB" w:rsidRPr="0095520C">
        <w:rPr>
          <w:rFonts w:asciiTheme="minorHAnsi" w:hAnsiTheme="minorHAnsi" w:cstheme="minorHAnsi"/>
          <w:sz w:val="20"/>
        </w:rPr>
        <w:t xml:space="preserve">revious low trauma fracture </w:t>
      </w:r>
    </w:p>
    <w:p w14:paraId="4EEB3E74"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F</w:t>
      </w:r>
      <w:r w:rsidR="004207DB" w:rsidRPr="0095520C">
        <w:rPr>
          <w:rFonts w:asciiTheme="minorHAnsi" w:hAnsiTheme="minorHAnsi" w:cstheme="minorHAnsi"/>
          <w:sz w:val="20"/>
        </w:rPr>
        <w:t xml:space="preserve">amily history of osteoporosis </w:t>
      </w:r>
    </w:p>
    <w:p w14:paraId="31C7D41D"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C</w:t>
      </w:r>
      <w:r w:rsidR="004207DB" w:rsidRPr="0095520C">
        <w:rPr>
          <w:rFonts w:asciiTheme="minorHAnsi" w:hAnsiTheme="minorHAnsi" w:cstheme="minorHAnsi"/>
          <w:sz w:val="20"/>
        </w:rPr>
        <w:t>hronic use of drugs that can reduce bone mass (e.g. anticonvulsants, steroids)</w:t>
      </w:r>
    </w:p>
    <w:p w14:paraId="5A212C8F" w14:textId="77777777" w:rsidR="00F6408B" w:rsidRPr="009E15C9" w:rsidRDefault="00322097" w:rsidP="009E15C9">
      <w:pPr>
        <w:pStyle w:val="ListParagraph"/>
        <w:numPr>
          <w:ilvl w:val="3"/>
          <w:numId w:val="1"/>
        </w:numPr>
        <w:rPr>
          <w:sz w:val="20"/>
          <w:szCs w:val="20"/>
        </w:rPr>
      </w:pPr>
      <w:r w:rsidRPr="009E15C9">
        <w:rPr>
          <w:sz w:val="20"/>
          <w:szCs w:val="20"/>
        </w:rPr>
        <w:t xml:space="preserve">Other </w:t>
      </w:r>
      <w:r w:rsidR="004207DB" w:rsidRPr="009E15C9">
        <w:rPr>
          <w:sz w:val="20"/>
          <w:szCs w:val="20"/>
        </w:rPr>
        <w:t>long</w:t>
      </w:r>
      <w:r w:rsidR="00F6408B" w:rsidRPr="009E15C9">
        <w:rPr>
          <w:sz w:val="20"/>
          <w:szCs w:val="20"/>
        </w:rPr>
        <w:t>-</w:t>
      </w:r>
      <w:r w:rsidR="004207DB" w:rsidRPr="009E15C9">
        <w:rPr>
          <w:sz w:val="20"/>
          <w:szCs w:val="20"/>
        </w:rPr>
        <w:t>acting reversible methods of contraception</w:t>
      </w:r>
      <w:r w:rsidRPr="009E15C9">
        <w:rPr>
          <w:sz w:val="20"/>
          <w:szCs w:val="20"/>
        </w:rPr>
        <w:t xml:space="preserve"> (IUS / IUD / Implant</w:t>
      </w:r>
      <w:r w:rsidR="00F35701" w:rsidRPr="009E15C9">
        <w:rPr>
          <w:sz w:val="20"/>
          <w:szCs w:val="20"/>
        </w:rPr>
        <w:t>)</w:t>
      </w:r>
      <w:r w:rsidRPr="009E15C9">
        <w:rPr>
          <w:sz w:val="20"/>
          <w:szCs w:val="20"/>
        </w:rPr>
        <w:t xml:space="preserve"> have higher efficacy than both </w:t>
      </w:r>
      <w:r w:rsidR="009E15C9">
        <w:rPr>
          <w:sz w:val="20"/>
          <w:szCs w:val="20"/>
        </w:rPr>
        <w:t>subcutaneous</w:t>
      </w:r>
      <w:r w:rsidR="00AF4241">
        <w:rPr>
          <w:sz w:val="20"/>
          <w:szCs w:val="20"/>
        </w:rPr>
        <w:t xml:space="preserve"> </w:t>
      </w:r>
      <w:proofErr w:type="gramStart"/>
      <w:r w:rsidR="009E15C9">
        <w:rPr>
          <w:sz w:val="20"/>
          <w:szCs w:val="20"/>
        </w:rPr>
        <w:t>-</w:t>
      </w:r>
      <w:r w:rsidR="00AF4241">
        <w:rPr>
          <w:sz w:val="20"/>
          <w:szCs w:val="20"/>
        </w:rPr>
        <w:t xml:space="preserve"> </w:t>
      </w:r>
      <w:r w:rsidRPr="009E15C9">
        <w:rPr>
          <w:sz w:val="20"/>
          <w:szCs w:val="20"/>
        </w:rPr>
        <w:t xml:space="preserve"> and</w:t>
      </w:r>
      <w:proofErr w:type="gramEnd"/>
      <w:r w:rsidRPr="009E15C9">
        <w:rPr>
          <w:sz w:val="20"/>
          <w:szCs w:val="20"/>
        </w:rPr>
        <w:t xml:space="preserve"> </w:t>
      </w:r>
      <w:r w:rsidR="009E15C9">
        <w:rPr>
          <w:sz w:val="20"/>
          <w:szCs w:val="20"/>
        </w:rPr>
        <w:t>intramuscular</w:t>
      </w:r>
      <w:r w:rsidR="00AF4241">
        <w:rPr>
          <w:sz w:val="20"/>
          <w:szCs w:val="20"/>
        </w:rPr>
        <w:t xml:space="preserve"> </w:t>
      </w:r>
      <w:r w:rsidRPr="009E15C9">
        <w:rPr>
          <w:sz w:val="20"/>
          <w:szCs w:val="20"/>
        </w:rPr>
        <w:t>-</w:t>
      </w:r>
      <w:r w:rsidR="00AF4241">
        <w:rPr>
          <w:sz w:val="20"/>
          <w:szCs w:val="20"/>
        </w:rPr>
        <w:t xml:space="preserve"> </w:t>
      </w:r>
      <w:r w:rsidRPr="009E15C9">
        <w:rPr>
          <w:sz w:val="20"/>
          <w:szCs w:val="20"/>
        </w:rPr>
        <w:t xml:space="preserve">DMPA and should be offered to all patients. </w:t>
      </w:r>
    </w:p>
    <w:p w14:paraId="68F8DD4B" w14:textId="106156D0" w:rsidR="00760377" w:rsidRDefault="00322097" w:rsidP="00760377">
      <w:pPr>
        <w:ind w:left="360"/>
        <w:rPr>
          <w:sz w:val="20"/>
          <w:szCs w:val="20"/>
        </w:rPr>
      </w:pPr>
      <w:proofErr w:type="gramStart"/>
      <w:r w:rsidRPr="0095520C">
        <w:rPr>
          <w:sz w:val="20"/>
          <w:szCs w:val="20"/>
        </w:rPr>
        <w:lastRenderedPageBreak/>
        <w:t>1</w:t>
      </w:r>
      <w:r w:rsidR="00F35701">
        <w:rPr>
          <w:sz w:val="20"/>
          <w:szCs w:val="20"/>
        </w:rPr>
        <w:t xml:space="preserve">1 </w:t>
      </w:r>
      <w:r w:rsidRPr="0095520C">
        <w:rPr>
          <w:sz w:val="20"/>
          <w:szCs w:val="20"/>
        </w:rPr>
        <w:t>)</w:t>
      </w:r>
      <w:proofErr w:type="gramEnd"/>
      <w:r w:rsidR="009E15C9">
        <w:rPr>
          <w:sz w:val="20"/>
          <w:szCs w:val="20"/>
        </w:rPr>
        <w:t xml:space="preserve"> </w:t>
      </w:r>
      <w:r w:rsidR="00F6408B" w:rsidRPr="0085726C">
        <w:rPr>
          <w:sz w:val="20"/>
          <w:szCs w:val="20"/>
        </w:rPr>
        <w:t>Patients not wishing/able to continue with Sayana Press</w:t>
      </w:r>
      <w:r w:rsidR="009E15C9">
        <w:t>®</w:t>
      </w:r>
      <w:r w:rsidR="00F6408B" w:rsidRPr="0085726C">
        <w:rPr>
          <w:sz w:val="20"/>
          <w:szCs w:val="20"/>
        </w:rPr>
        <w:t xml:space="preserve"> can be seen in Solent Sexual Health Services for full contraception counselling and initiation of other methods</w:t>
      </w:r>
      <w:r w:rsidR="00061587" w:rsidRPr="0085726C">
        <w:rPr>
          <w:sz w:val="20"/>
          <w:szCs w:val="20"/>
        </w:rPr>
        <w:t xml:space="preserve"> if GP practice unable to do so. </w:t>
      </w:r>
    </w:p>
    <w:p w14:paraId="74063137" w14:textId="65266169" w:rsidR="00760377" w:rsidRPr="0085726C" w:rsidRDefault="00760377" w:rsidP="00760377">
      <w:pPr>
        <w:rPr>
          <w:sz w:val="20"/>
          <w:szCs w:val="20"/>
        </w:rPr>
      </w:pPr>
      <w:r>
        <w:rPr>
          <w:sz w:val="20"/>
          <w:szCs w:val="20"/>
        </w:rPr>
        <w:t xml:space="preserve">If the patient indicates that they are thinking about a future pregnancy please signpost them to </w:t>
      </w:r>
      <w:hyperlink r:id="rId13" w:history="1">
        <w:r>
          <w:rPr>
            <w:rStyle w:val="Hyperlink"/>
          </w:rPr>
          <w:t>Ready for pregnancy :: Healthier Together (what0-18.nhs.uk)</w:t>
        </w:r>
      </w:hyperlink>
      <w:r>
        <w:t>.</w:t>
      </w:r>
    </w:p>
    <w:sectPr w:rsidR="00760377" w:rsidRPr="0085726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915F" w14:textId="77777777" w:rsidR="005A1EF8" w:rsidRDefault="005A1EF8" w:rsidP="005A1EF8">
      <w:pPr>
        <w:spacing w:after="0" w:line="240" w:lineRule="auto"/>
      </w:pPr>
      <w:r>
        <w:separator/>
      </w:r>
    </w:p>
  </w:endnote>
  <w:endnote w:type="continuationSeparator" w:id="0">
    <w:p w14:paraId="01B226DE" w14:textId="77777777" w:rsidR="005A1EF8" w:rsidRDefault="005A1EF8" w:rsidP="005A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D284" w14:textId="5CD27BF7" w:rsidR="005A1EF8" w:rsidRDefault="005A1EF8">
    <w:pPr>
      <w:pStyle w:val="Footer"/>
    </w:pPr>
    <w:r>
      <w:t xml:space="preserve">August 21 </w:t>
    </w:r>
    <w:r w:rsidR="00760377">
      <w:t>final</w:t>
    </w:r>
  </w:p>
  <w:p w14:paraId="6AD9A64D" w14:textId="77777777" w:rsidR="005A1EF8" w:rsidRDefault="005A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28B1" w14:textId="77777777" w:rsidR="005A1EF8" w:rsidRDefault="005A1EF8" w:rsidP="005A1EF8">
      <w:pPr>
        <w:spacing w:after="0" w:line="240" w:lineRule="auto"/>
      </w:pPr>
      <w:r>
        <w:separator/>
      </w:r>
    </w:p>
  </w:footnote>
  <w:footnote w:type="continuationSeparator" w:id="0">
    <w:p w14:paraId="6BEDCE6C" w14:textId="77777777" w:rsidR="005A1EF8" w:rsidRDefault="005A1EF8" w:rsidP="005A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9422F"/>
    <w:multiLevelType w:val="hybridMultilevel"/>
    <w:tmpl w:val="C31467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B4DBC"/>
    <w:multiLevelType w:val="hybridMultilevel"/>
    <w:tmpl w:val="B02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5E"/>
    <w:rsid w:val="00055800"/>
    <w:rsid w:val="00061587"/>
    <w:rsid w:val="00096550"/>
    <w:rsid w:val="00175833"/>
    <w:rsid w:val="001E7ECF"/>
    <w:rsid w:val="002015D9"/>
    <w:rsid w:val="00295E1A"/>
    <w:rsid w:val="00322097"/>
    <w:rsid w:val="0032210C"/>
    <w:rsid w:val="004207DB"/>
    <w:rsid w:val="004B4E02"/>
    <w:rsid w:val="004F5B33"/>
    <w:rsid w:val="00540FEE"/>
    <w:rsid w:val="005A1EF8"/>
    <w:rsid w:val="005B37BF"/>
    <w:rsid w:val="00610F66"/>
    <w:rsid w:val="00666AA0"/>
    <w:rsid w:val="006761AD"/>
    <w:rsid w:val="00722DF4"/>
    <w:rsid w:val="0075430B"/>
    <w:rsid w:val="00760377"/>
    <w:rsid w:val="0079118F"/>
    <w:rsid w:val="0085726C"/>
    <w:rsid w:val="008D4163"/>
    <w:rsid w:val="0095520C"/>
    <w:rsid w:val="00990EAC"/>
    <w:rsid w:val="009E15C9"/>
    <w:rsid w:val="00A36227"/>
    <w:rsid w:val="00AC455F"/>
    <w:rsid w:val="00AF4241"/>
    <w:rsid w:val="00B341DF"/>
    <w:rsid w:val="00B86232"/>
    <w:rsid w:val="00BB6773"/>
    <w:rsid w:val="00BF4ECC"/>
    <w:rsid w:val="00CD1D82"/>
    <w:rsid w:val="00D31A3B"/>
    <w:rsid w:val="00D5637B"/>
    <w:rsid w:val="00E4245E"/>
    <w:rsid w:val="00F241BD"/>
    <w:rsid w:val="00F35701"/>
    <w:rsid w:val="00F6408B"/>
    <w:rsid w:val="00F73258"/>
    <w:rsid w:val="00FA24BE"/>
    <w:rsid w:val="00FB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F22"/>
  <w15:chartTrackingRefBased/>
  <w15:docId w15:val="{E877A674-D4F9-4857-8C36-1CB6ECC4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5E"/>
    <w:pPr>
      <w:ind w:left="720"/>
      <w:contextualSpacing/>
    </w:pPr>
  </w:style>
  <w:style w:type="paragraph" w:styleId="BodyText2">
    <w:name w:val="Body Text 2"/>
    <w:basedOn w:val="Normal"/>
    <w:link w:val="BodyText2Char"/>
    <w:uiPriority w:val="99"/>
    <w:rsid w:val="004207D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4207DB"/>
    <w:rPr>
      <w:rFonts w:ascii="Times New Roman" w:eastAsia="Times New Roman" w:hAnsi="Times New Roman" w:cs="Times New Roman"/>
      <w:szCs w:val="20"/>
    </w:rPr>
  </w:style>
  <w:style w:type="character" w:styleId="CommentReference">
    <w:name w:val="annotation reference"/>
    <w:basedOn w:val="DefaultParagraphFont"/>
    <w:semiHidden/>
    <w:unhideWhenUsed/>
    <w:rsid w:val="004207DB"/>
    <w:rPr>
      <w:sz w:val="16"/>
      <w:szCs w:val="16"/>
    </w:rPr>
  </w:style>
  <w:style w:type="paragraph" w:styleId="CommentText">
    <w:name w:val="annotation text"/>
    <w:basedOn w:val="Normal"/>
    <w:link w:val="CommentTextChar"/>
    <w:unhideWhenUsed/>
    <w:rsid w:val="004207D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207D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241BD"/>
    <w:rPr>
      <w:color w:val="0563C1" w:themeColor="hyperlink"/>
      <w:u w:val="single"/>
    </w:rPr>
  </w:style>
  <w:style w:type="character" w:styleId="UnresolvedMention">
    <w:name w:val="Unresolved Mention"/>
    <w:basedOn w:val="DefaultParagraphFont"/>
    <w:uiPriority w:val="99"/>
    <w:semiHidden/>
    <w:unhideWhenUsed/>
    <w:rsid w:val="00F241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1D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D1D8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E15C9"/>
    <w:rPr>
      <w:color w:val="954F72" w:themeColor="followedHyperlink"/>
      <w:u w:val="single"/>
    </w:rPr>
  </w:style>
  <w:style w:type="paragraph" w:styleId="Header">
    <w:name w:val="header"/>
    <w:basedOn w:val="Normal"/>
    <w:link w:val="HeaderChar"/>
    <w:uiPriority w:val="99"/>
    <w:unhideWhenUsed/>
    <w:rsid w:val="005A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F8"/>
  </w:style>
  <w:style w:type="paragraph" w:styleId="Footer">
    <w:name w:val="footer"/>
    <w:basedOn w:val="Normal"/>
    <w:link w:val="FooterChar"/>
    <w:uiPriority w:val="99"/>
    <w:unhideWhenUsed/>
    <w:rsid w:val="005A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yanaanswers.co.uk/home" TargetMode="External"/><Relationship Id="rId13" Type="http://schemas.openxmlformats.org/officeDocument/2006/relationships/hyperlink" Target="https://what0-18.nhs.uk/pregnant-women/ready-for-pregnan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srh.org/standards-and-guidance/uk-medical-eligibility-criteria-for-contraceptive-use-ukm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rh.org/standards-and-guidance/documents/cec-ceu-guidance-injectables-dec-2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yanaanswers.co.uk/guide-to-self-injection" TargetMode="External"/><Relationship Id="rId4" Type="http://schemas.openxmlformats.org/officeDocument/2006/relationships/webSettings" Target="webSettings.xml"/><Relationship Id="rId9" Type="http://schemas.openxmlformats.org/officeDocument/2006/relationships/hyperlink" Target="https://www.sayanaanswer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Redfern, Bryony - Specialty Doctor in Integrated Sexual Health</dc:creator>
  <cp:keywords/>
  <dc:description/>
  <cp:lastModifiedBy>Williams, Helen - Operational Support Manager</cp:lastModifiedBy>
  <cp:revision>2</cp:revision>
  <dcterms:created xsi:type="dcterms:W3CDTF">2021-10-06T06:44:00Z</dcterms:created>
  <dcterms:modified xsi:type="dcterms:W3CDTF">2021-10-06T06:44:00Z</dcterms:modified>
</cp:coreProperties>
</file>